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852"/>
        <w:gridCol w:w="1020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Procedury ratunkowe przedszpitalne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II, III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10/III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80/II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40/III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Style w:val="Wyrnienieuser"/>
                <w:i w:val="false"/>
                <w:iCs w:val="false"/>
                <w:sz w:val="20"/>
                <w:szCs w:val="20"/>
              </w:rPr>
              <w:t>Kształtowanie umiejętności prowadzenia zaawansowanych zabiegów resuscytacyjnych u osób w różnym wieku zgodnie z aktualną wiedzą medyczną w warunkach przedszpitalnych.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Style w:val="Wyrnienieuser"/>
                <w:i w:val="false"/>
                <w:iCs w:val="false"/>
                <w:sz w:val="20"/>
                <w:szCs w:val="20"/>
              </w:rPr>
              <w:t>Kształtowanie u studenta umiejętności wykonywania zabiegów medycznych podejmowanych w trakcie prowadzenia działań ratunkowych oraz współpracy z zespołem i jednostkami współpracującymi w ramach Systemu Państwowe Ratownictwo Medyczne.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Style w:val="Wyrnienieuser"/>
                <w:i w:val="false"/>
                <w:iCs w:val="false"/>
                <w:sz w:val="20"/>
                <w:szCs w:val="20"/>
              </w:rPr>
              <w:t>Kształtowanie u studenta postawy wrażliwości na problemy osób poszkodowanych, dyskrecji oraz poszanowania praw pacjentów.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Style w:val="Wyrnienieuser"/>
                <w:i w:val="false"/>
                <w:iCs w:val="false"/>
                <w:sz w:val="20"/>
                <w:szCs w:val="20"/>
              </w:rPr>
              <w:t>Kształtowanie poczucia stałego doskonalenia zawodowego oraz odpowiedzialności za życie własne.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C.W17.mechanizmy prowadzące do stanów nagłego zagrożenia zdrowotnego;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Egzamin pisemny, test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C.W41. zasady łańcucha przeżycia;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C.W53. 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C.W56. </w:t>
            </w:r>
            <w:r>
              <w:rPr>
                <w:rFonts w:ascii="Times New Roman" w:hAnsi="Times New Roman"/>
                <w:sz w:val="20"/>
                <w:szCs w:val="20"/>
              </w:rPr>
              <w:t>zasady prowadzenia podstawowej i zaawansowanej resuscytacji krążeniowo- -oddechowej u osób dorosłych i dzieci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C.W58. </w:t>
            </w:r>
            <w:r>
              <w:rPr>
                <w:rFonts w:ascii="Times New Roman" w:hAnsi="Times New Roman"/>
                <w:sz w:val="20"/>
                <w:szCs w:val="20"/>
              </w:rPr>
              <w:t>wskazania do przyrządowego i bezprzyrządowego przywracania drożności dróg oddechowych i techniki ich wykonywania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C.W59. </w:t>
            </w:r>
            <w:r>
              <w:rPr>
                <w:rFonts w:ascii="Times New Roman" w:hAnsi="Times New Roman"/>
                <w:sz w:val="20"/>
                <w:szCs w:val="20"/>
              </w:rPr>
              <w:t>wskazania do podjęcia tlenoterapii biernej lub wentylacji zastępczej powietrzem lub tlenem, ręcznie lub mechanicznie – z użyciem respiratora i techniki ich wykonywania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C.W60. </w:t>
            </w:r>
            <w:r>
              <w:rPr>
                <w:rFonts w:ascii="Times New Roman" w:hAnsi="Times New Roman"/>
                <w:sz w:val="20"/>
                <w:szCs w:val="20"/>
              </w:rPr>
              <w:t>wskazania do intubacji dotchawiczej w laryngoskopii bezpośredniej przez usta bez użycia środków zwiotczających i do prowadzenia wentylacji zastępczej oraz techniki ich wykonywania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C.W61. </w:t>
            </w:r>
            <w:r>
              <w:rPr>
                <w:rFonts w:ascii="Times New Roman" w:hAnsi="Times New Roman"/>
                <w:sz w:val="20"/>
                <w:szCs w:val="20"/>
              </w:rPr>
              <w:t>wskazania do wykonania defibrylacji manualnej, zautomatyzowanej i półautomatycznej oraz techniki ich wykonania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C.W62. </w:t>
            </w:r>
            <w:r>
              <w:rPr>
                <w:rFonts w:ascii="Times New Roman" w:hAnsi="Times New Roman"/>
                <w:sz w:val="20"/>
                <w:szCs w:val="20"/>
              </w:rPr>
              <w:t>wskazania do wykonania kaniulacji żył obwodowych kończyn górnych i dolnych oraz żyły szyjnej zewnętrznej, a także technikę jej wykonania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C.W63. </w:t>
            </w:r>
            <w:r>
              <w:rPr>
                <w:rFonts w:ascii="Times New Roman" w:hAnsi="Times New Roman"/>
                <w:sz w:val="20"/>
                <w:szCs w:val="20"/>
              </w:rPr>
              <w:t>zasady monitorowania czynności układu oddechowego i układu krążenia metodami nieinwazyjnymi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C.W64. </w:t>
            </w:r>
            <w:r>
              <w:rPr>
                <w:rFonts w:ascii="Times New Roman" w:hAnsi="Times New Roman"/>
                <w:sz w:val="20"/>
                <w:szCs w:val="20"/>
              </w:rPr>
              <w:t>zasady wykonywania dostępu doszpikowego przy użyciu gotowego zestawu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C.W73. </w:t>
            </w:r>
            <w:r>
              <w:rPr>
                <w:rFonts w:ascii="Times New Roman" w:hAnsi="Times New Roman"/>
                <w:sz w:val="20"/>
                <w:szCs w:val="20"/>
              </w:rPr>
              <w:t>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C.W74. </w:t>
            </w:r>
            <w:r>
              <w:rPr>
                <w:rFonts w:ascii="Times New Roman" w:hAnsi="Times New Roman"/>
                <w:sz w:val="20"/>
                <w:szCs w:val="20"/>
              </w:rPr>
              <w:t>zasady podejmowania działań zabezpieczających w celu ograniczenia skutków zdrowotnych zdarzenia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C.W75. </w:t>
            </w:r>
            <w:r>
              <w:rPr>
                <w:rFonts w:ascii="Times New Roman" w:hAnsi="Times New Roman"/>
                <w:sz w:val="20"/>
                <w:szCs w:val="20"/>
              </w:rPr>
              <w:t>zasady segregacji medycznej przedszpitalnej pierwotnej i wtórnej oraz segregacji szpitalnej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C.W76. </w:t>
            </w:r>
            <w:r>
              <w:rPr>
                <w:rFonts w:ascii="Times New Roman" w:hAnsi="Times New Roman"/>
                <w:sz w:val="20"/>
                <w:szCs w:val="20"/>
              </w:rPr>
              <w:t>techniki przygotowania pacjenta do transportu i opieki medycznej podczas transportu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C.W78. </w:t>
            </w:r>
            <w:r>
              <w:rPr>
                <w:rFonts w:ascii="Times New Roman" w:hAnsi="Times New Roman"/>
                <w:sz w:val="20"/>
                <w:szCs w:val="20"/>
              </w:rPr>
              <w:t>postępowanie przedszpitalne w stanach nagłego zagrożenia zdrowotnego u osób dorosłych i dzieci;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C.W79. </w:t>
            </w:r>
            <w:r>
              <w:rPr>
                <w:rFonts w:ascii="Times New Roman" w:hAnsi="Times New Roman"/>
                <w:sz w:val="20"/>
                <w:szCs w:val="20"/>
              </w:rPr>
              <w:t>rodzaje terapii inwazyjnej stosowane w ramach postępowania przedszpitalnego;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C.W92. procedury specjalistyczne w stanach nagłych pochodzenia urazowego stosowane w ramach postępowania przedszpitalnego i w SOR;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C.W93.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rodzaje obrażeń ciała, ich definicje oraz zasady kwalifikacji do centrum urazowego i centrum urazowego dla dzieci;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C.W94.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zasady funkcjonowania centrum urazowego i centrum urazowego dla dzieci;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C.W95.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zasady postępowania przedszpitalnego i w SOR w obrażeniach: czaszkowo- -mózgowych, kręgosłupa i rdzenia kręgowego, kończyn, jamy brzusznej i klatki piersiowej oraz w przypadku wstrząsu;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C.W96.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procedurę kardiowersji elektrycznej i elektrostymulacji zewnętrznej;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C.W99.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wybrane stany nagłe okulistyczne i zasady postępowania przedszpitalnego w tym zakresie;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C.W100.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wybrane stany nagłe laryngologiczne i zasady postępowania przedszpitalnego w tym zakresie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C.U1. ocenić stan pacjenta w celu ustalenia sposobu postępowania ratunkowego;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000000"/>
                <w:kern w:val="2"/>
                <w:sz w:val="20"/>
                <w:szCs w:val="20"/>
                <w:lang w:eastAsia="zh-CN"/>
              </w:rPr>
              <w:t>C.U4. przeprowadzać badanie fizykalne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rFonts w:eastAsia="SimSun" w:cs="Times New Roman" w:ascii="Times New Roman" w:hAnsi="Times New Roman"/>
                <w:color w:val="000000"/>
                <w:kern w:val="2"/>
                <w:sz w:val="20"/>
                <w:szCs w:val="20"/>
                <w:lang w:eastAsia="zh-CN"/>
              </w:rPr>
              <w:t>C.U7. przeprowadzić wywiad medyczny z pacjentem dorosłym w zakresie niezbędnym do podjęcia medycznych czynności ratunkowych;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C.U8. oceniać stan świadomości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C.U10. przeprowadzać badanie fizykalne pacjenta dorosłego w zakresie niezbędnym do ustalenia jego stanu;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C.U7.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przeprowadzać wywiad medyczny z pacjentem dorosłym w zakresie niezbędnym do podjęcia medycznych czynności ratunkowych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C.U13. </w:t>
            </w:r>
            <w:r>
              <w:rPr>
                <w:rFonts w:ascii="Times New Roman" w:hAnsi="Times New Roman"/>
                <w:sz w:val="20"/>
                <w:szCs w:val="20"/>
              </w:rPr>
              <w:t>wykonywać elektrokardiogram i interpretować go w podstawowym zakresie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C.U18. monitorować stan pacjenta metodami nieinwazyjnymi;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C.U19. obliczać dawki produktów leczniczych oraz przygotowywać do podania i podawać produkty lecznicze pacjentowi;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C.U26. przygotować pacjenta do transportu;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C.U28. monitorować stan pacjenta podczas czynności medycznych i transportu;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C.U35. </w:t>
            </w:r>
            <w:r>
              <w:rPr>
                <w:rFonts w:ascii="Times New Roman" w:hAnsi="Times New Roman"/>
                <w:sz w:val="20"/>
                <w:szCs w:val="20"/>
              </w:rPr>
              <w:t>oceniać wskazania do transportu pacjenta do ośrodka toksykologicznego, hiperbarycznego, replantacyjnego i kardiologii inwazyjnej oraz centrum leczenia oparzeń, centrum urazowego lub centrum urazowego dla dzieci;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103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C.U38. </w:t>
            </w:r>
            <w:r>
              <w:rPr>
                <w:rFonts w:ascii="Times New Roman" w:hAnsi="Times New Roman"/>
                <w:sz w:val="20"/>
                <w:szCs w:val="20"/>
              </w:rPr>
              <w:t>prowadzić podstawowe i zaawansowane czynności resuscytacyjne u osób dorosłych, dzieci, niemowląt i noworodków, z uwzględnieniem prawidłowego zastosowania urządzeń wspomagających resuscytację (urządzenia do kompresji klatki piersiowej, respiratora)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 xml:space="preserve">C.U39. </w:t>
            </w: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przywracać drożność dróg oddechowych metodami bezprzyrządowymi;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 xml:space="preserve">C.U40. </w:t>
            </w: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przyrządowo udrażniać drogi oddechowe metodami nadgłośniowymi;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 xml:space="preserve">C.U41. </w:t>
            </w: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wykonywać intubację dotchawiczą w laryngoskopii bezpośredniej i pośredniej;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 xml:space="preserve">C.U42. </w:t>
            </w: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wykonywać konikopunkcję;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 xml:space="preserve">C.U43. </w:t>
            </w:r>
            <w:r>
              <w:rPr>
                <w:rFonts w:cs="Times New Roman" w:ascii="Times New Roman" w:hAnsi="Times New Roman"/>
                <w:color w:val="auto"/>
                <w:sz w:val="20"/>
                <w:szCs w:val="20"/>
                <w:shd w:fill="auto" w:val="clear"/>
              </w:rPr>
              <w:t>wdrażać tlenoterapię zależnie od potrzeb pacjenta i wspomagać oddech;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C.U45. </w:t>
            </w:r>
            <w:r>
              <w:rPr>
                <w:rFonts w:ascii="Times New Roman" w:hAnsi="Times New Roman"/>
                <w:sz w:val="20"/>
                <w:szCs w:val="20"/>
              </w:rPr>
              <w:t>prowadzić wentylację zastępczą z użyciem worka samorozprężalnego i respiratora transportowego;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C.U61. transportować pacjenta w warunkach przedszpitalnych, wewnątrzszpitalnych i międzyszpitalnych;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C.U62.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identyfikować błędy i zaniedbania w praktyce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C.U63.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identyfikować zagrożenia obrażeń: czaszkowo-mózgowych, klatki piersiowej, jamy brzusznej, kończyn, kręgosłupa i rdzenia kręgowego oraz miednicy, a także wdrażać postępowanie ratunkowe w przypadku tych obrażeń;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C.U64.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identyfikować wskazania do transportu do centrum urazowego lub centrum urazowego dla dzieci i zgłaszać obecność kryteriów kwalifikacji kierownikowi zespołu urazowego lub kierownikowi zespołu urazowego dziecięcego;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/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/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/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/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557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55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 dostrzegania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92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36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Aspekt prawny udzielania pierwszej pomocy oraz medycznych czynności ratunkowych w oparciu o Ustawę o Państwowym Ratownictwie Medycznym i Kodeks Karny.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Bezpieczeństwo własne i miejsca zdarzenia. Alarmowanie otoczenia i powiadamianie o zdarzeniu służb zawodowych. Uruchamianie łańcucha przeżycia.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Rozpoznawanie nagłego zatrzymania krążenia. Podstawowe zabiegi resuscytacyjne.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Automatyczny defibrylator zewnętrzny – AED. AED jako ogniwo łańcucha przeżycia oraz jego wpływ na skuteczność resuscytacji krążeniowo-oddechowej. Zasady wykonania bezpiecznej defibrylacji przy użyciu AED.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Ocena stanu chorego. Badanie podstawowych parametrów życiowych i zbieranie wywiadu medycznego. Rozpoznawanie stanu nagłego zagrożenia zdrowotnego.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Zasady postępowania w wybranych stanach nagłego zagrożenia zdrowotnego u chorego z zachowanymi funkcjami życiowymi z uwzględnieniem poszkodowanego po urazie. Wsparcie psychiczne chorego. Zapewnienie komfortu termicznego chorego oraz ułożenie go w optymalnej dla niego pozycji. Zasady tamowania krwotoku zewnętrznego oraz unieruchamiania kończyn.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Algorytm postępowania w przypadku zadławienia. Rozpoznawanie łagodnej i ciężkiej niedrożności dróg oddechowych spowodowanej ciałem obcym.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Zapoznanie z zasadami organizacji i funkcjonowania Państwowego Ratownictwa Medycznego i współpracy z innymi służbami biorącymi udział w akcji ratunkowej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Łączność radiowa z Dyspozytornią Medyczną i Centrum Powiadamiania Ratunkowego. 3.Zasady dokumentowania wykonanych medycznych czynności ratunkowych.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Zasady dokumentowania wykonanych medycznych czynności ratunkowych.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Procedury uzupełniania materiałów medycznych w ambulansie.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Wyposażenie i specyfikacja sprzętu ambulansu – obsługa sprzętu medycznego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Testowanie funkcjonowania sprzętu diagnostycznego.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10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Zasady aseptyki i antyseptyk,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Procedury dezynfekcji ambulansu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5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Style w:val="Wyrnienieuser"/>
                <w:rFonts w:eastAsia="SimSun" w:cs="Times New Roman" w:ascii="Times New Roman" w:hAnsi="Times New Roman"/>
                <w:b w:val="false"/>
                <w:bCs w:val="false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Bezpieczeństwo własne i pacjenta w trakcie wykonywania medycznych czynności ratunkowych na miejscu zdarzenia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10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>
                <w:rStyle w:val="Wyrnienieuser"/>
                <w:rFonts w:ascii="Times New Roman" w:hAnsi="Times New Roman" w:cs="Times New Roman"/>
                <w:i w:val="false"/>
                <w:sz w:val="20"/>
                <w:szCs w:val="20"/>
              </w:rPr>
            </w:pP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iCs/>
                <w:sz w:val="20"/>
                <w:szCs w:val="20"/>
              </w:rPr>
              <w:t>Wytyczne resuscytacji 2015</w:t>
            </w:r>
            <w:r>
              <w:rPr>
                <w:rStyle w:val="Wyrnienieuser"/>
                <w:rFonts w:cs="Times New Roman" w:ascii="Times New Roman" w:hAnsi="Times New Roman"/>
                <w:i w:val="false"/>
                <w:sz w:val="20"/>
                <w:szCs w:val="20"/>
              </w:rPr>
              <w:t>, Wydawnictwo Polskiej Rady Resuscytacji, Kraków 2016, ISBN 978-83-89610-28-7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clear" w:pos="708"/>
                <w:tab w:val="left" w:pos="373" w:leader="none"/>
              </w:tabs>
              <w:spacing w:lineRule="auto" w:line="240" w:before="0" w:after="0"/>
              <w:ind w:hanging="360" w:left="373"/>
              <w:rPr/>
            </w:pP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iCs/>
                <w:sz w:val="20"/>
                <w:szCs w:val="20"/>
              </w:rPr>
              <w:t>International Trauma Life Support</w:t>
            </w:r>
            <w:r>
              <w:rPr>
                <w:rStyle w:val="Wyrnienieuser"/>
                <w:rFonts w:cs="Times New Roman" w:ascii="Times New Roman" w:hAnsi="Times New Roman"/>
                <w:i w:val="false"/>
                <w:sz w:val="20"/>
                <w:szCs w:val="20"/>
              </w:rPr>
              <w:t>, Ratownictwo przedszpitalne w urazach, Kraków 2015, ISBN 978-83-7430-436-8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iCs/>
                <w:sz w:val="20"/>
                <w:szCs w:val="20"/>
              </w:rPr>
              <w:t>Pierwsza pomoc i resuscytacja krążeniowo-oddechowa</w:t>
            </w:r>
            <w:r>
              <w:rPr>
                <w:rStyle w:val="Wyrnienieuser"/>
                <w:rFonts w:cs="Times New Roman" w:ascii="Times New Roman" w:hAnsi="Times New Roman"/>
                <w:sz w:val="20"/>
                <w:szCs w:val="20"/>
              </w:rPr>
              <w:t xml:space="preserve">, </w:t>
            </w:r>
            <w:r>
              <w:rPr>
                <w:rStyle w:val="Wyrnienieuser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wydanie III, Polska Rada Resuscytacji, Kraków 2011, ISBN 978-83-89610-12-6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Application>LibreOffice/25.8.5.2$Windows_X86_64 LibreOffice_project/9c8b85f387cc00a89945a79c9e6239f32e450ac2</Application>
  <AppVersion>15.0000</AppVersion>
  <DocSecurity>0</DocSecurity>
  <Pages>5</Pages>
  <Words>1701</Words>
  <Characters>12526</Characters>
  <CharactersWithSpaces>14023</CharactersWithSpaces>
  <Paragraphs>226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2026-03-26T12:02:44Z</dcterms:modified>
  <cp:revision>218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